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147" w:type="dxa"/>
        <w:tblLook w:val="04A0" w:firstRow="1" w:lastRow="0" w:firstColumn="1" w:lastColumn="0" w:noHBand="0" w:noVBand="1"/>
      </w:tblPr>
      <w:tblGrid>
        <w:gridCol w:w="1561"/>
        <w:gridCol w:w="8220"/>
      </w:tblGrid>
      <w:tr w:rsidR="007C1EA1" w:rsidRPr="00A652E1" w14:paraId="5D5AD3D9" w14:textId="77777777" w:rsidTr="00877306">
        <w:tc>
          <w:tcPr>
            <w:tcW w:w="1561" w:type="dxa"/>
          </w:tcPr>
          <w:p w14:paraId="63749EDC" w14:textId="77777777" w:rsidR="007C1EA1" w:rsidRPr="00A652E1" w:rsidRDefault="007C1EA1" w:rsidP="00CA64AD">
            <w:pPr>
              <w:rPr>
                <w:rFonts w:cs="Arial"/>
                <w:b/>
                <w:sz w:val="22"/>
                <w:szCs w:val="22"/>
              </w:rPr>
            </w:pPr>
            <w:r w:rsidRPr="00A652E1">
              <w:rPr>
                <w:rFonts w:cs="Arial"/>
                <w:b/>
                <w:sz w:val="22"/>
                <w:szCs w:val="22"/>
              </w:rPr>
              <w:t>Term of Office</w:t>
            </w:r>
          </w:p>
        </w:tc>
        <w:tc>
          <w:tcPr>
            <w:tcW w:w="8220" w:type="dxa"/>
          </w:tcPr>
          <w:p w14:paraId="0BFF5489" w14:textId="46C8B0E2" w:rsidR="007C1EA1" w:rsidRPr="00A652E1" w:rsidRDefault="007C1EA1" w:rsidP="00CA64AD">
            <w:pPr>
              <w:spacing w:after="80"/>
              <w:rPr>
                <w:rFonts w:cs="Arial"/>
                <w:sz w:val="22"/>
                <w:szCs w:val="22"/>
              </w:rPr>
            </w:pPr>
            <w:r>
              <w:rPr>
                <w:rFonts w:cs="Arial"/>
                <w:sz w:val="22"/>
                <w:szCs w:val="22"/>
              </w:rPr>
              <w:t>3 years, renewable</w:t>
            </w:r>
            <w:r>
              <w:rPr>
                <w:rFonts w:cs="Arial"/>
                <w:sz w:val="22"/>
                <w:szCs w:val="22"/>
              </w:rPr>
              <w:br/>
            </w:r>
          </w:p>
        </w:tc>
      </w:tr>
      <w:tr w:rsidR="007C1EA1" w:rsidRPr="00A652E1" w14:paraId="6884301A" w14:textId="77777777" w:rsidTr="00877306">
        <w:tc>
          <w:tcPr>
            <w:tcW w:w="1561" w:type="dxa"/>
          </w:tcPr>
          <w:p w14:paraId="007E2200" w14:textId="77777777" w:rsidR="007C1EA1" w:rsidRPr="00A652E1" w:rsidRDefault="007C1EA1" w:rsidP="00CA64AD">
            <w:pPr>
              <w:rPr>
                <w:rFonts w:cs="Arial"/>
                <w:b/>
                <w:sz w:val="22"/>
                <w:szCs w:val="22"/>
              </w:rPr>
            </w:pPr>
            <w:r w:rsidRPr="00A652E1">
              <w:rPr>
                <w:rFonts w:cs="Arial"/>
                <w:b/>
                <w:sz w:val="22"/>
                <w:szCs w:val="22"/>
              </w:rPr>
              <w:t xml:space="preserve">Meetings </w:t>
            </w:r>
          </w:p>
        </w:tc>
        <w:tc>
          <w:tcPr>
            <w:tcW w:w="8220" w:type="dxa"/>
          </w:tcPr>
          <w:p w14:paraId="3A25F497" w14:textId="77777777" w:rsidR="00A342CB" w:rsidRDefault="007C1EA1" w:rsidP="00877306">
            <w:pPr>
              <w:spacing w:after="80"/>
              <w:rPr>
                <w:rFonts w:cs="Arial"/>
                <w:sz w:val="22"/>
                <w:szCs w:val="22"/>
              </w:rPr>
            </w:pPr>
            <w:r>
              <w:rPr>
                <w:rFonts w:cs="Arial"/>
                <w:sz w:val="22"/>
                <w:szCs w:val="22"/>
              </w:rPr>
              <w:t xml:space="preserve">The Registrar is </w:t>
            </w:r>
            <w:r w:rsidR="00A342CB">
              <w:rPr>
                <w:rFonts w:cs="Arial"/>
                <w:sz w:val="22"/>
                <w:szCs w:val="22"/>
              </w:rPr>
              <w:t xml:space="preserve">required to attend a 90 minute – </w:t>
            </w:r>
            <w:proofErr w:type="gramStart"/>
            <w:r w:rsidR="00A342CB">
              <w:rPr>
                <w:rFonts w:cs="Arial"/>
                <w:sz w:val="22"/>
                <w:szCs w:val="22"/>
              </w:rPr>
              <w:t>2 hour</w:t>
            </w:r>
            <w:proofErr w:type="gramEnd"/>
            <w:r w:rsidR="00A342CB">
              <w:rPr>
                <w:rFonts w:cs="Arial"/>
                <w:sz w:val="22"/>
                <w:szCs w:val="22"/>
              </w:rPr>
              <w:t xml:space="preserve"> online meeting held twice a year for all External Advisors and Supervisors involved in the training scheme. </w:t>
            </w:r>
          </w:p>
          <w:p w14:paraId="0E96884C" w14:textId="77777777" w:rsidR="00A342CB" w:rsidRDefault="00A342CB" w:rsidP="00877306">
            <w:pPr>
              <w:spacing w:after="80"/>
              <w:rPr>
                <w:rFonts w:cs="Arial"/>
                <w:sz w:val="22"/>
                <w:szCs w:val="22"/>
              </w:rPr>
            </w:pPr>
            <w:r>
              <w:rPr>
                <w:rFonts w:cs="Arial"/>
                <w:sz w:val="22"/>
                <w:szCs w:val="22"/>
              </w:rPr>
              <w:t xml:space="preserve">The Registrar is also invited to attend in person induction days and workshop days to support with delivering sessions, on a voluntary basis. </w:t>
            </w:r>
          </w:p>
          <w:p w14:paraId="2E435798" w14:textId="5345CF0C" w:rsidR="00A342CB" w:rsidRPr="00A652E1" w:rsidRDefault="007C1EA1" w:rsidP="00877306">
            <w:pPr>
              <w:spacing w:after="80"/>
              <w:rPr>
                <w:rFonts w:cs="Arial"/>
                <w:sz w:val="22"/>
                <w:szCs w:val="22"/>
              </w:rPr>
            </w:pPr>
            <w:r>
              <w:rPr>
                <w:rFonts w:cs="Arial"/>
                <w:sz w:val="22"/>
                <w:szCs w:val="22"/>
              </w:rPr>
              <w:t>The Registrar will also be an External Advisor to trainees in addition to reviewing application forms</w:t>
            </w:r>
            <w:r w:rsidR="00A342CB">
              <w:rPr>
                <w:rFonts w:cs="Arial"/>
                <w:sz w:val="22"/>
                <w:szCs w:val="22"/>
              </w:rPr>
              <w:t>, however capacity for this will be managed and supported</w:t>
            </w:r>
            <w:r>
              <w:rPr>
                <w:rFonts w:cs="Arial"/>
                <w:sz w:val="22"/>
                <w:szCs w:val="22"/>
              </w:rPr>
              <w:t xml:space="preserve">. This would require the Registrar to attend an online meeting with their trainee once per year, </w:t>
            </w:r>
            <w:proofErr w:type="gramStart"/>
            <w:r>
              <w:rPr>
                <w:rFonts w:cs="Arial"/>
                <w:sz w:val="22"/>
                <w:szCs w:val="22"/>
              </w:rPr>
              <w:t>and also</w:t>
            </w:r>
            <w:proofErr w:type="gramEnd"/>
            <w:r>
              <w:rPr>
                <w:rFonts w:cs="Arial"/>
                <w:sz w:val="22"/>
                <w:szCs w:val="22"/>
              </w:rPr>
              <w:t xml:space="preserve"> to take part in a portfolio review and mock viva with their trainee. Please see the role description for an External Advisor for further information on this. </w:t>
            </w:r>
          </w:p>
        </w:tc>
      </w:tr>
      <w:tr w:rsidR="007C1EA1" w:rsidRPr="00A652E1" w14:paraId="578CBB2F" w14:textId="77777777" w:rsidTr="00877306">
        <w:tc>
          <w:tcPr>
            <w:tcW w:w="1561" w:type="dxa"/>
          </w:tcPr>
          <w:p w14:paraId="32364ABF" w14:textId="77777777" w:rsidR="007C1EA1" w:rsidRPr="00A652E1" w:rsidRDefault="007C1EA1" w:rsidP="00CA64AD">
            <w:pPr>
              <w:rPr>
                <w:rFonts w:cs="Arial"/>
                <w:b/>
                <w:sz w:val="22"/>
                <w:szCs w:val="22"/>
              </w:rPr>
            </w:pPr>
            <w:r w:rsidRPr="00A652E1">
              <w:rPr>
                <w:rFonts w:cs="Arial"/>
                <w:b/>
                <w:sz w:val="22"/>
                <w:szCs w:val="22"/>
              </w:rPr>
              <w:t>Why volunteer?</w:t>
            </w:r>
          </w:p>
        </w:tc>
        <w:tc>
          <w:tcPr>
            <w:tcW w:w="8220" w:type="dxa"/>
          </w:tcPr>
          <w:p w14:paraId="67DE55C1" w14:textId="77777777" w:rsidR="007C1EA1" w:rsidRPr="00A652E1" w:rsidRDefault="007C1EA1" w:rsidP="00CA64AD">
            <w:pPr>
              <w:rPr>
                <w:rFonts w:cs="Arial"/>
                <w:sz w:val="22"/>
                <w:szCs w:val="22"/>
              </w:rPr>
            </w:pPr>
            <w:r w:rsidRPr="0001207C">
              <w:rPr>
                <w:rFonts w:cs="Arial"/>
                <w:sz w:val="22"/>
                <w:szCs w:val="22"/>
              </w:rPr>
              <w:t>Sharing your professional knowledge, enthusiasm and personal time means we can work together on our mission to improve health through physics and engineering in medicine.</w:t>
            </w:r>
            <w:r>
              <w:rPr>
                <w:rFonts w:cs="Arial"/>
                <w:sz w:val="22"/>
                <w:szCs w:val="22"/>
              </w:rPr>
              <w:br/>
            </w:r>
            <w:r w:rsidRPr="0001207C">
              <w:rPr>
                <w:rFonts w:cs="Arial"/>
                <w:sz w:val="22"/>
                <w:szCs w:val="22"/>
              </w:rPr>
              <w:br/>
              <w:t>Volunteers are key to achieving IPEM’s charitable objective through its strategy.</w:t>
            </w:r>
            <w:r w:rsidRPr="00A652E1">
              <w:rPr>
                <w:rFonts w:cs="Arial"/>
                <w:sz w:val="22"/>
                <w:szCs w:val="22"/>
              </w:rPr>
              <w:br/>
            </w:r>
          </w:p>
        </w:tc>
      </w:tr>
      <w:tr w:rsidR="007C1EA1" w:rsidRPr="00A652E1" w14:paraId="7CDF1FA5" w14:textId="77777777" w:rsidTr="00877306">
        <w:tc>
          <w:tcPr>
            <w:tcW w:w="1561" w:type="dxa"/>
          </w:tcPr>
          <w:p w14:paraId="4CF5CD65" w14:textId="77777777" w:rsidR="007C1EA1" w:rsidRPr="00A652E1" w:rsidRDefault="007C1EA1" w:rsidP="00CA64AD">
            <w:pPr>
              <w:rPr>
                <w:rFonts w:cs="Arial"/>
                <w:b/>
                <w:sz w:val="22"/>
                <w:szCs w:val="22"/>
              </w:rPr>
            </w:pPr>
            <w:r w:rsidRPr="00A652E1">
              <w:rPr>
                <w:rFonts w:cs="Arial"/>
                <w:b/>
                <w:sz w:val="22"/>
                <w:szCs w:val="22"/>
              </w:rPr>
              <w:t>Where does this role fit in?</w:t>
            </w:r>
          </w:p>
          <w:p w14:paraId="0CD574EF" w14:textId="77777777" w:rsidR="007C1EA1" w:rsidRPr="00A652E1" w:rsidRDefault="007C1EA1" w:rsidP="00CA64AD">
            <w:pPr>
              <w:rPr>
                <w:rFonts w:cs="Arial"/>
                <w:b/>
                <w:sz w:val="22"/>
                <w:szCs w:val="22"/>
              </w:rPr>
            </w:pPr>
          </w:p>
        </w:tc>
        <w:tc>
          <w:tcPr>
            <w:tcW w:w="8220" w:type="dxa"/>
          </w:tcPr>
          <w:p w14:paraId="73F3B51C" w14:textId="77777777" w:rsidR="007C1EA1" w:rsidRDefault="007C1EA1" w:rsidP="00CA64AD">
            <w:pPr>
              <w:spacing w:before="100" w:beforeAutospacing="1" w:after="100" w:afterAutospacing="1"/>
              <w:rPr>
                <w:rFonts w:cs="Arial"/>
                <w:sz w:val="22"/>
                <w:szCs w:val="22"/>
              </w:rPr>
            </w:pPr>
            <w:r>
              <w:rPr>
                <w:rFonts w:cs="Arial"/>
                <w:sz w:val="22"/>
                <w:szCs w:val="22"/>
              </w:rPr>
              <w:t>The Clinical Scientist Guided Training Scheme (CSGTS) supports a training period in which trainees undertake a programme of advanced training that may lead to the award of the ACS Certificate of Attainment or AHCS Certificate of Equivalence (and then to registration with the HCPC), and eligibility for Full Membership of IPEM (and, where applicable, Chartered Scientist or Chartered Engineer registration).</w:t>
            </w:r>
          </w:p>
          <w:p w14:paraId="6777ED87" w14:textId="77777777" w:rsidR="007C1EA1" w:rsidRDefault="007C1EA1" w:rsidP="00CA64AD">
            <w:pPr>
              <w:spacing w:before="100" w:beforeAutospacing="1" w:after="100" w:afterAutospacing="1"/>
              <w:rPr>
                <w:rFonts w:cs="Arial"/>
                <w:sz w:val="22"/>
                <w:szCs w:val="22"/>
              </w:rPr>
            </w:pPr>
            <w:r>
              <w:rPr>
                <w:rFonts w:cs="Arial"/>
                <w:sz w:val="22"/>
                <w:szCs w:val="22"/>
              </w:rPr>
              <w:t>Applications for enrolment onto the CSGTS are forwarded to the Registrar for approval in the first instance. The role of the Registrar is to confirm the specialism and review the application to ensure that the trainee is working in a relevant field at an appropriate level and is being supervised by a HCPC registered Clinical Scientist. Applications must include a structured training plan compiled by the trainee and their supervisor, which should detail how the trainee intends to meet the competences required to satisfy the requirements for the ACS or AHCS and subsequently Full Membership of IPEM.</w:t>
            </w:r>
          </w:p>
          <w:p w14:paraId="7EE045B5" w14:textId="77777777" w:rsidR="007C1EA1" w:rsidRPr="00A652E1" w:rsidRDefault="007C1EA1" w:rsidP="00CA64AD">
            <w:pPr>
              <w:spacing w:before="100" w:beforeAutospacing="1" w:after="100" w:afterAutospacing="1"/>
              <w:rPr>
                <w:rFonts w:cs="Arial"/>
                <w:sz w:val="22"/>
                <w:szCs w:val="22"/>
              </w:rPr>
            </w:pPr>
            <w:r>
              <w:rPr>
                <w:rFonts w:cs="Arial"/>
                <w:sz w:val="22"/>
                <w:szCs w:val="22"/>
              </w:rPr>
              <w:t xml:space="preserve">The Registrar may approve the training plan or suggest input from an External Advisor who works within the same field as the applicant. The EA will then approve the training plan or suggest amendments. On receipt of an amended training plan, the Registrar and EA will discuss the proposal, and if satisfactory, the applicant will be enrolled onto the scheme. The Registrar can recommend that IPEM rejects the application, if they deem that the training plan cannot be made satisfactory. </w:t>
            </w:r>
            <w:r>
              <w:rPr>
                <w:rFonts w:cs="Arial"/>
                <w:sz w:val="22"/>
                <w:szCs w:val="22"/>
              </w:rPr>
              <w:br/>
            </w:r>
            <w:r>
              <w:rPr>
                <w:rFonts w:cs="Arial"/>
                <w:sz w:val="22"/>
                <w:szCs w:val="22"/>
              </w:rPr>
              <w:br/>
              <w:t xml:space="preserve">Occasionally, the IPEM National Office will ask for the Registrar’s input and advice when replying to queries from potential applicants, or those already registered on the scheme. Should a trainee move to a different training centre, they will be required to submit an amended training plan which in turn must be approved by the Registrar and EA (as above). </w:t>
            </w:r>
          </w:p>
        </w:tc>
      </w:tr>
      <w:tr w:rsidR="007C1EA1" w:rsidRPr="00A652E1" w14:paraId="00DE196C" w14:textId="77777777" w:rsidTr="00877306">
        <w:tc>
          <w:tcPr>
            <w:tcW w:w="1561" w:type="dxa"/>
          </w:tcPr>
          <w:p w14:paraId="16CDF68E" w14:textId="77777777" w:rsidR="007C1EA1" w:rsidRPr="00A652E1" w:rsidRDefault="007C1EA1" w:rsidP="00CA64AD">
            <w:pPr>
              <w:rPr>
                <w:rFonts w:cs="Arial"/>
                <w:b/>
                <w:sz w:val="22"/>
                <w:szCs w:val="22"/>
              </w:rPr>
            </w:pPr>
            <w:r w:rsidRPr="00A652E1">
              <w:rPr>
                <w:rFonts w:cs="Arial"/>
                <w:b/>
                <w:sz w:val="22"/>
                <w:szCs w:val="22"/>
              </w:rPr>
              <w:lastRenderedPageBreak/>
              <w:t>Who can apply?</w:t>
            </w:r>
          </w:p>
        </w:tc>
        <w:tc>
          <w:tcPr>
            <w:tcW w:w="8220" w:type="dxa"/>
          </w:tcPr>
          <w:p w14:paraId="76785191" w14:textId="77777777" w:rsidR="007C1EA1" w:rsidRPr="00A652E1" w:rsidRDefault="007C1EA1" w:rsidP="00CA64AD">
            <w:pPr>
              <w:pStyle w:val="pf0"/>
              <w:rPr>
                <w:rFonts w:ascii="Arial" w:hAnsi="Arial" w:cs="Arial"/>
                <w:sz w:val="22"/>
                <w:szCs w:val="22"/>
              </w:rPr>
            </w:pPr>
            <w:r>
              <w:rPr>
                <w:rFonts w:ascii="Arial" w:hAnsi="Arial" w:cs="Arial"/>
                <w:sz w:val="22"/>
                <w:szCs w:val="22"/>
              </w:rPr>
              <w:t xml:space="preserve">Anyone who is a Fellow or Full Member of IPEM and HCPC registered as a Clinical Scientist is encouraged to apply. </w:t>
            </w:r>
            <w:r>
              <w:rPr>
                <w:rFonts w:ascii="Arial" w:hAnsi="Arial" w:cs="Arial"/>
                <w:sz w:val="22"/>
                <w:szCs w:val="22"/>
              </w:rPr>
              <w:br/>
            </w:r>
          </w:p>
        </w:tc>
      </w:tr>
      <w:tr w:rsidR="007C1EA1" w:rsidRPr="00A652E1" w14:paraId="04945440" w14:textId="77777777" w:rsidTr="00877306">
        <w:tc>
          <w:tcPr>
            <w:tcW w:w="1561" w:type="dxa"/>
          </w:tcPr>
          <w:p w14:paraId="6381ED85" w14:textId="77777777" w:rsidR="007C1EA1" w:rsidRPr="00A652E1" w:rsidRDefault="007C1EA1" w:rsidP="00CA64AD">
            <w:pPr>
              <w:rPr>
                <w:rFonts w:cs="Arial"/>
                <w:b/>
                <w:sz w:val="22"/>
                <w:szCs w:val="22"/>
              </w:rPr>
            </w:pPr>
            <w:r w:rsidRPr="00A652E1">
              <w:rPr>
                <w:rFonts w:cs="Arial"/>
                <w:b/>
                <w:sz w:val="22"/>
                <w:szCs w:val="22"/>
              </w:rPr>
              <w:t>Examples of work</w:t>
            </w:r>
          </w:p>
        </w:tc>
        <w:tc>
          <w:tcPr>
            <w:tcW w:w="8220" w:type="dxa"/>
          </w:tcPr>
          <w:p w14:paraId="0A81E462" w14:textId="77777777" w:rsidR="007C1EA1" w:rsidRPr="000F21CA" w:rsidRDefault="007C1EA1" w:rsidP="00CA64AD">
            <w:pPr>
              <w:spacing w:before="100" w:beforeAutospacing="1" w:after="100" w:afterAutospacing="1"/>
              <w:rPr>
                <w:rFonts w:cs="Arial"/>
                <w:sz w:val="22"/>
                <w:szCs w:val="22"/>
              </w:rPr>
            </w:pPr>
            <w:r w:rsidRPr="000F21CA">
              <w:rPr>
                <w:rFonts w:cs="Arial"/>
                <w:sz w:val="22"/>
                <w:szCs w:val="22"/>
              </w:rPr>
              <w:t>The Registrar will:</w:t>
            </w:r>
          </w:p>
          <w:p w14:paraId="3423331B" w14:textId="77777777" w:rsidR="007C1EA1" w:rsidRPr="000F21CA" w:rsidRDefault="007C1EA1" w:rsidP="007C1EA1">
            <w:pPr>
              <w:pStyle w:val="ListParagraph"/>
              <w:numPr>
                <w:ilvl w:val="0"/>
                <w:numId w:val="6"/>
              </w:numPr>
              <w:spacing w:before="100" w:beforeAutospacing="1" w:after="100" w:afterAutospacing="1"/>
              <w:rPr>
                <w:rFonts w:cs="Arial"/>
                <w:sz w:val="22"/>
                <w:szCs w:val="22"/>
              </w:rPr>
            </w:pPr>
            <w:r w:rsidRPr="000F21CA">
              <w:rPr>
                <w:rFonts w:cs="Arial"/>
                <w:sz w:val="22"/>
                <w:szCs w:val="22"/>
              </w:rPr>
              <w:t>Review applications forms and training plans to review the suitability of proposed training</w:t>
            </w:r>
          </w:p>
          <w:p w14:paraId="456C72CB" w14:textId="77777777" w:rsidR="007C1EA1" w:rsidRPr="000F21CA" w:rsidRDefault="007C1EA1" w:rsidP="007C1EA1">
            <w:pPr>
              <w:pStyle w:val="ListParagraph"/>
              <w:numPr>
                <w:ilvl w:val="0"/>
                <w:numId w:val="6"/>
              </w:numPr>
              <w:spacing w:before="100" w:beforeAutospacing="1" w:after="100" w:afterAutospacing="1"/>
              <w:rPr>
                <w:rFonts w:cs="Arial"/>
                <w:sz w:val="22"/>
                <w:szCs w:val="22"/>
              </w:rPr>
            </w:pPr>
            <w:r w:rsidRPr="000F21CA">
              <w:rPr>
                <w:rFonts w:cs="Arial"/>
                <w:sz w:val="22"/>
                <w:szCs w:val="22"/>
              </w:rPr>
              <w:t>Communicate with External Advisors in the relevant specialism on the suitability of training</w:t>
            </w:r>
          </w:p>
          <w:p w14:paraId="6C7CA35F" w14:textId="77777777" w:rsidR="007C1EA1" w:rsidRPr="007A6DA3" w:rsidRDefault="007C1EA1" w:rsidP="007C1EA1">
            <w:pPr>
              <w:pStyle w:val="ListParagraph"/>
              <w:numPr>
                <w:ilvl w:val="0"/>
                <w:numId w:val="6"/>
              </w:numPr>
              <w:spacing w:before="100" w:beforeAutospacing="1" w:after="100" w:afterAutospacing="1"/>
              <w:rPr>
                <w:rFonts w:ascii="Times New Roman" w:hAnsi="Times New Roman" w:cs="Arial"/>
              </w:rPr>
            </w:pPr>
            <w:r w:rsidRPr="000F21CA">
              <w:rPr>
                <w:rFonts w:cs="Arial"/>
                <w:sz w:val="22"/>
                <w:szCs w:val="22"/>
              </w:rPr>
              <w:t>To provide advice and guidance to the IPEM Training Team on potential queries on the application process and requirements</w:t>
            </w:r>
            <w:r>
              <w:rPr>
                <w:rFonts w:cs="Arial"/>
                <w:sz w:val="22"/>
                <w:szCs w:val="22"/>
              </w:rPr>
              <w:t>.</w:t>
            </w:r>
          </w:p>
        </w:tc>
      </w:tr>
      <w:tr w:rsidR="007C1EA1" w:rsidRPr="00A652E1" w14:paraId="60624AE7" w14:textId="77777777" w:rsidTr="00877306">
        <w:tc>
          <w:tcPr>
            <w:tcW w:w="1561" w:type="dxa"/>
          </w:tcPr>
          <w:p w14:paraId="4970BB8B" w14:textId="77777777" w:rsidR="007C1EA1" w:rsidRPr="00A652E1" w:rsidRDefault="007C1EA1" w:rsidP="00CA64AD">
            <w:pPr>
              <w:rPr>
                <w:rFonts w:cs="Arial"/>
                <w:b/>
                <w:sz w:val="22"/>
                <w:szCs w:val="22"/>
              </w:rPr>
            </w:pPr>
            <w:r w:rsidRPr="00A652E1">
              <w:rPr>
                <w:rFonts w:cs="Arial"/>
                <w:b/>
                <w:sz w:val="22"/>
                <w:szCs w:val="22"/>
              </w:rPr>
              <w:t>Time Commitment</w:t>
            </w:r>
          </w:p>
        </w:tc>
        <w:tc>
          <w:tcPr>
            <w:tcW w:w="8220" w:type="dxa"/>
          </w:tcPr>
          <w:p w14:paraId="04D7A85A" w14:textId="77777777" w:rsidR="007C1EA1" w:rsidRPr="00A652E1" w:rsidRDefault="007C1EA1" w:rsidP="00CA64AD">
            <w:pPr>
              <w:spacing w:before="100" w:beforeAutospacing="1" w:after="100" w:afterAutospacing="1"/>
              <w:rPr>
                <w:rFonts w:cs="Arial"/>
                <w:sz w:val="22"/>
                <w:szCs w:val="22"/>
              </w:rPr>
            </w:pPr>
            <w:r>
              <w:rPr>
                <w:rFonts w:cs="Arial"/>
                <w:sz w:val="22"/>
                <w:szCs w:val="22"/>
              </w:rPr>
              <w:t>2 to 3 days per year on average however this can vary depending on the volume of applications which are received. This is in addition to the time spent as an External Advisor.</w:t>
            </w:r>
            <w:r>
              <w:rPr>
                <w:rFonts w:cs="Arial"/>
                <w:sz w:val="22"/>
                <w:szCs w:val="22"/>
              </w:rPr>
              <w:br/>
            </w:r>
          </w:p>
        </w:tc>
      </w:tr>
      <w:tr w:rsidR="007C1EA1" w:rsidRPr="00A652E1" w14:paraId="1E7B504B" w14:textId="77777777" w:rsidTr="00877306">
        <w:tc>
          <w:tcPr>
            <w:tcW w:w="1561" w:type="dxa"/>
          </w:tcPr>
          <w:p w14:paraId="35E06153" w14:textId="77777777" w:rsidR="007C1EA1" w:rsidRPr="00A652E1" w:rsidRDefault="007C1EA1" w:rsidP="00CA64AD">
            <w:pPr>
              <w:rPr>
                <w:rFonts w:cs="Arial"/>
                <w:b/>
                <w:sz w:val="22"/>
                <w:szCs w:val="22"/>
              </w:rPr>
            </w:pPr>
            <w:r w:rsidRPr="00A652E1">
              <w:rPr>
                <w:rFonts w:cs="Arial"/>
                <w:b/>
                <w:sz w:val="22"/>
                <w:szCs w:val="22"/>
              </w:rPr>
              <w:t>What you get out of it</w:t>
            </w:r>
          </w:p>
        </w:tc>
        <w:tc>
          <w:tcPr>
            <w:tcW w:w="8220" w:type="dxa"/>
          </w:tcPr>
          <w:p w14:paraId="7C028C15" w14:textId="77777777" w:rsidR="007C1EA1" w:rsidRPr="00B75D32" w:rsidRDefault="007C1EA1" w:rsidP="007C1EA1">
            <w:pPr>
              <w:pStyle w:val="ListParagraph"/>
              <w:numPr>
                <w:ilvl w:val="0"/>
                <w:numId w:val="7"/>
              </w:numPr>
              <w:rPr>
                <w:rFonts w:cs="Arial"/>
                <w:sz w:val="22"/>
                <w:szCs w:val="22"/>
              </w:rPr>
            </w:pPr>
            <w:r w:rsidRPr="00B75D32">
              <w:rPr>
                <w:rFonts w:cs="Arial"/>
                <w:sz w:val="22"/>
                <w:szCs w:val="22"/>
              </w:rPr>
              <w:t>Speak with other professionals outside your local network to help with contacts and career progression.</w:t>
            </w:r>
          </w:p>
          <w:p w14:paraId="08C50728" w14:textId="77777777" w:rsidR="007C1EA1" w:rsidRPr="00B75D32" w:rsidRDefault="007C1EA1" w:rsidP="007C1EA1">
            <w:pPr>
              <w:pStyle w:val="ListParagraph"/>
              <w:numPr>
                <w:ilvl w:val="0"/>
                <w:numId w:val="7"/>
              </w:numPr>
              <w:rPr>
                <w:rFonts w:cs="Arial"/>
                <w:sz w:val="22"/>
                <w:szCs w:val="22"/>
              </w:rPr>
            </w:pPr>
            <w:r w:rsidRPr="00B75D32">
              <w:rPr>
                <w:rFonts w:cs="Arial"/>
                <w:sz w:val="22"/>
                <w:szCs w:val="22"/>
              </w:rPr>
              <w:t>Provides CPD and support your development as a leader.</w:t>
            </w:r>
          </w:p>
          <w:p w14:paraId="09B03106" w14:textId="77777777" w:rsidR="007C1EA1" w:rsidRPr="00B75D32" w:rsidRDefault="007C1EA1" w:rsidP="007C1EA1">
            <w:pPr>
              <w:pStyle w:val="ListParagraph"/>
              <w:numPr>
                <w:ilvl w:val="0"/>
                <w:numId w:val="7"/>
              </w:numPr>
              <w:rPr>
                <w:rFonts w:cs="Arial"/>
                <w:sz w:val="22"/>
                <w:szCs w:val="22"/>
              </w:rPr>
            </w:pPr>
            <w:r w:rsidRPr="00B75D32">
              <w:rPr>
                <w:rFonts w:cs="Arial"/>
                <w:sz w:val="22"/>
                <w:szCs w:val="22"/>
              </w:rPr>
              <w:t>Influencing – can have an impact on the career of someone early in their career.</w:t>
            </w:r>
          </w:p>
          <w:p w14:paraId="47555C17" w14:textId="77777777" w:rsidR="007C1EA1" w:rsidRPr="00B75D32" w:rsidRDefault="007C1EA1" w:rsidP="007C1EA1">
            <w:pPr>
              <w:pStyle w:val="ListParagraph"/>
              <w:numPr>
                <w:ilvl w:val="0"/>
                <w:numId w:val="7"/>
              </w:numPr>
              <w:rPr>
                <w:rFonts w:cs="Arial"/>
                <w:sz w:val="22"/>
                <w:szCs w:val="22"/>
              </w:rPr>
            </w:pPr>
            <w:r w:rsidRPr="00B75D32">
              <w:rPr>
                <w:rFonts w:cs="Arial"/>
                <w:sz w:val="22"/>
                <w:szCs w:val="22"/>
              </w:rPr>
              <w:t>Adopting our value of inclusiveness in our work means you are helping us towards being a more diverse profession to better reflect a diverse community.</w:t>
            </w:r>
          </w:p>
          <w:p w14:paraId="30BABEF0" w14:textId="77777777" w:rsidR="007C1EA1" w:rsidRPr="00B75D32" w:rsidRDefault="007C1EA1" w:rsidP="007C1EA1">
            <w:pPr>
              <w:pStyle w:val="ListParagraph"/>
              <w:numPr>
                <w:ilvl w:val="0"/>
                <w:numId w:val="7"/>
              </w:numPr>
              <w:rPr>
                <w:rFonts w:cs="Arial"/>
                <w:sz w:val="22"/>
                <w:szCs w:val="22"/>
              </w:rPr>
            </w:pPr>
            <w:r w:rsidRPr="00B75D32">
              <w:rPr>
                <w:rFonts w:cs="Arial"/>
                <w:sz w:val="22"/>
                <w:szCs w:val="22"/>
              </w:rPr>
              <w:t xml:space="preserve">Volunteering on the training scheme supports IPEM address the Clinical Scientist workforce shortages. </w:t>
            </w:r>
          </w:p>
          <w:p w14:paraId="073BDC33" w14:textId="77777777" w:rsidR="007C1EA1" w:rsidRPr="00B75D32" w:rsidRDefault="007C1EA1" w:rsidP="00CA64AD">
            <w:pPr>
              <w:rPr>
                <w:rFonts w:cs="Arial"/>
              </w:rPr>
            </w:pPr>
          </w:p>
        </w:tc>
      </w:tr>
      <w:tr w:rsidR="007C1EA1" w:rsidRPr="00A652E1" w14:paraId="716CB8F2" w14:textId="77777777" w:rsidTr="00877306">
        <w:tc>
          <w:tcPr>
            <w:tcW w:w="1561" w:type="dxa"/>
          </w:tcPr>
          <w:p w14:paraId="7BC416D3" w14:textId="77777777" w:rsidR="007C1EA1" w:rsidRPr="00A652E1" w:rsidRDefault="007C1EA1" w:rsidP="00CA64AD">
            <w:pPr>
              <w:rPr>
                <w:rFonts w:cs="Arial"/>
                <w:b/>
                <w:sz w:val="22"/>
                <w:szCs w:val="22"/>
              </w:rPr>
            </w:pPr>
            <w:r w:rsidRPr="00A652E1">
              <w:rPr>
                <w:rFonts w:cs="Arial"/>
                <w:b/>
                <w:sz w:val="22"/>
                <w:szCs w:val="22"/>
              </w:rPr>
              <w:t>Support available</w:t>
            </w:r>
          </w:p>
        </w:tc>
        <w:tc>
          <w:tcPr>
            <w:tcW w:w="8220" w:type="dxa"/>
          </w:tcPr>
          <w:p w14:paraId="5C312CFB" w14:textId="77777777" w:rsidR="00A342CB" w:rsidRDefault="007C1EA1" w:rsidP="00CA64AD">
            <w:pPr>
              <w:spacing w:before="100" w:beforeAutospacing="1" w:after="100" w:afterAutospacing="1"/>
              <w:rPr>
                <w:rFonts w:cs="Arial"/>
                <w:sz w:val="22"/>
                <w:szCs w:val="22"/>
              </w:rPr>
            </w:pPr>
            <w:r>
              <w:rPr>
                <w:rFonts w:cs="Arial"/>
                <w:sz w:val="22"/>
                <w:szCs w:val="22"/>
              </w:rPr>
              <w:t xml:space="preserve">CSGTS is administered by the training team at the IPEM National Office who can offer additional support: </w:t>
            </w:r>
            <w:hyperlink r:id="rId10" w:history="1">
              <w:r w:rsidRPr="008D42E6">
                <w:rPr>
                  <w:rStyle w:val="Hyperlink"/>
                  <w:rFonts w:cs="Arial"/>
                  <w:sz w:val="22"/>
                  <w:szCs w:val="22"/>
                </w:rPr>
                <w:t>training@ipem.ac.uk</w:t>
              </w:r>
            </w:hyperlink>
            <w:r w:rsidRPr="008D42E6">
              <w:rPr>
                <w:rFonts w:cs="Arial"/>
                <w:sz w:val="22"/>
                <w:szCs w:val="22"/>
              </w:rPr>
              <w:t>.</w:t>
            </w:r>
            <w:r>
              <w:rPr>
                <w:rFonts w:cs="Arial"/>
                <w:sz w:val="22"/>
                <w:szCs w:val="22"/>
              </w:rPr>
              <w:t xml:space="preserve"> </w:t>
            </w:r>
          </w:p>
          <w:p w14:paraId="2CAC84BB" w14:textId="291605FC" w:rsidR="007C1EA1" w:rsidRPr="00654E86" w:rsidRDefault="00A342CB" w:rsidP="00CA64AD">
            <w:pPr>
              <w:spacing w:before="100" w:beforeAutospacing="1" w:after="100" w:afterAutospacing="1"/>
              <w:rPr>
                <w:rFonts w:cs="Arial"/>
                <w:sz w:val="22"/>
                <w:szCs w:val="22"/>
              </w:rPr>
            </w:pPr>
            <w:r>
              <w:rPr>
                <w:rFonts w:cs="Arial"/>
                <w:sz w:val="22"/>
                <w:szCs w:val="22"/>
              </w:rPr>
              <w:t xml:space="preserve">There are two Registrars for the training scheme and can therefore support each other in the role. </w:t>
            </w:r>
            <w:r w:rsidR="007C1EA1">
              <w:rPr>
                <w:rFonts w:cs="Arial"/>
                <w:sz w:val="22"/>
                <w:szCs w:val="22"/>
              </w:rPr>
              <w:br/>
            </w:r>
            <w:r w:rsidR="007C1EA1">
              <w:rPr>
                <w:rFonts w:cs="Arial"/>
                <w:sz w:val="22"/>
                <w:szCs w:val="22"/>
              </w:rPr>
              <w:br/>
              <w:t xml:space="preserve">IPEM’s </w:t>
            </w:r>
            <w:r>
              <w:rPr>
                <w:rFonts w:cs="Arial"/>
                <w:sz w:val="22"/>
                <w:szCs w:val="22"/>
              </w:rPr>
              <w:t xml:space="preserve">Education and </w:t>
            </w:r>
            <w:r w:rsidR="007C1EA1">
              <w:rPr>
                <w:rFonts w:cs="Arial"/>
                <w:sz w:val="22"/>
                <w:szCs w:val="22"/>
              </w:rPr>
              <w:t>Professional Standards Co</w:t>
            </w:r>
            <w:r>
              <w:rPr>
                <w:rFonts w:cs="Arial"/>
                <w:sz w:val="22"/>
                <w:szCs w:val="22"/>
              </w:rPr>
              <w:t>mmittee</w:t>
            </w:r>
            <w:r w:rsidR="007C1EA1">
              <w:rPr>
                <w:rFonts w:cs="Arial"/>
                <w:sz w:val="22"/>
                <w:szCs w:val="22"/>
              </w:rPr>
              <w:t xml:space="preserve"> have responsibility for training schemes operated by IPEM and can offer support and guidance to the registrar when required. </w:t>
            </w:r>
          </w:p>
        </w:tc>
      </w:tr>
    </w:tbl>
    <w:p w14:paraId="4A39E5F4" w14:textId="77777777" w:rsidR="007C1EA1" w:rsidRPr="00A652E1" w:rsidRDefault="007C1EA1" w:rsidP="007C1EA1">
      <w:pPr>
        <w:rPr>
          <w:rFonts w:cs="Arial"/>
          <w:b/>
        </w:rPr>
      </w:pPr>
      <w:r w:rsidRPr="00A652E1">
        <w:rPr>
          <w:rFonts w:cs="Arial"/>
          <w:b/>
        </w:rPr>
        <w:t>Eligibility Requirements</w:t>
      </w:r>
    </w:p>
    <w:p w14:paraId="2A378F1E" w14:textId="77777777" w:rsidR="007C1EA1" w:rsidRPr="00A652E1" w:rsidRDefault="007C1EA1" w:rsidP="007C1EA1">
      <w:pPr>
        <w:rPr>
          <w:rFonts w:cs="Arial"/>
        </w:rPr>
      </w:pPr>
    </w:p>
    <w:tbl>
      <w:tblPr>
        <w:tblStyle w:val="TableGrid"/>
        <w:tblW w:w="9634" w:type="dxa"/>
        <w:tblLook w:val="04A0" w:firstRow="1" w:lastRow="0" w:firstColumn="1" w:lastColumn="0" w:noHBand="0" w:noVBand="1"/>
      </w:tblPr>
      <w:tblGrid>
        <w:gridCol w:w="1537"/>
        <w:gridCol w:w="8097"/>
      </w:tblGrid>
      <w:tr w:rsidR="007C1EA1" w:rsidRPr="00A652E1" w14:paraId="64ECAB8B" w14:textId="77777777" w:rsidTr="00CA64AD">
        <w:tc>
          <w:tcPr>
            <w:tcW w:w="1537" w:type="dxa"/>
          </w:tcPr>
          <w:p w14:paraId="307A44B2" w14:textId="77777777" w:rsidR="007C1EA1" w:rsidRPr="00A652E1" w:rsidRDefault="007C1EA1" w:rsidP="00CA64AD">
            <w:pPr>
              <w:rPr>
                <w:rFonts w:cs="Arial"/>
                <w:sz w:val="22"/>
                <w:szCs w:val="22"/>
              </w:rPr>
            </w:pPr>
            <w:r w:rsidRPr="00A652E1">
              <w:rPr>
                <w:rFonts w:cs="Arial"/>
                <w:sz w:val="22"/>
                <w:szCs w:val="22"/>
              </w:rPr>
              <w:t xml:space="preserve">Membership </w:t>
            </w:r>
          </w:p>
        </w:tc>
        <w:tc>
          <w:tcPr>
            <w:tcW w:w="8097" w:type="dxa"/>
          </w:tcPr>
          <w:p w14:paraId="5DAA2F7D" w14:textId="77777777" w:rsidR="007C1EA1" w:rsidRPr="00A652E1" w:rsidRDefault="007C1EA1" w:rsidP="00CA64AD">
            <w:pPr>
              <w:spacing w:after="60"/>
              <w:rPr>
                <w:rFonts w:cs="Arial"/>
                <w:sz w:val="22"/>
                <w:szCs w:val="22"/>
              </w:rPr>
            </w:pPr>
            <w:r>
              <w:rPr>
                <w:rFonts w:cs="Arial"/>
                <w:sz w:val="22"/>
                <w:szCs w:val="22"/>
              </w:rPr>
              <w:t>Fellow or Full IPEM member and HCPC registered as a Clinical Scientist</w:t>
            </w:r>
          </w:p>
        </w:tc>
      </w:tr>
      <w:tr w:rsidR="007C1EA1" w:rsidRPr="00A652E1" w14:paraId="701C4DC5" w14:textId="77777777" w:rsidTr="00CA64AD">
        <w:tc>
          <w:tcPr>
            <w:tcW w:w="1537" w:type="dxa"/>
          </w:tcPr>
          <w:p w14:paraId="667DEB3B" w14:textId="77777777" w:rsidR="007C1EA1" w:rsidRPr="00A652E1" w:rsidRDefault="007C1EA1" w:rsidP="00CA64AD">
            <w:pPr>
              <w:rPr>
                <w:rFonts w:cs="Arial"/>
                <w:sz w:val="22"/>
                <w:szCs w:val="22"/>
              </w:rPr>
            </w:pPr>
            <w:r w:rsidRPr="00A652E1">
              <w:rPr>
                <w:rFonts w:cs="Arial"/>
                <w:sz w:val="22"/>
                <w:szCs w:val="22"/>
              </w:rPr>
              <w:t xml:space="preserve">Experience </w:t>
            </w:r>
          </w:p>
        </w:tc>
        <w:tc>
          <w:tcPr>
            <w:tcW w:w="8097" w:type="dxa"/>
          </w:tcPr>
          <w:p w14:paraId="07B61A51" w14:textId="77777777" w:rsidR="007C1EA1" w:rsidRPr="00A652E1" w:rsidRDefault="007C1EA1" w:rsidP="00CA64AD">
            <w:pPr>
              <w:spacing w:after="60"/>
              <w:rPr>
                <w:rFonts w:cs="Arial"/>
                <w:sz w:val="22"/>
                <w:szCs w:val="22"/>
              </w:rPr>
            </w:pPr>
            <w:r>
              <w:rPr>
                <w:rFonts w:cs="Arial"/>
                <w:sz w:val="22"/>
                <w:szCs w:val="22"/>
              </w:rPr>
              <w:t>The CSGTS Registrar must be familiar with the aims and requirements of the CSGTS, to a level of being able to act as modality assessor for obtaining ACS Certificate of Attainment.</w:t>
            </w:r>
            <w:r>
              <w:rPr>
                <w:rFonts w:cs="Arial"/>
                <w:sz w:val="22"/>
                <w:szCs w:val="22"/>
              </w:rPr>
              <w:br/>
            </w:r>
            <w:r>
              <w:rPr>
                <w:rFonts w:cs="Arial"/>
                <w:sz w:val="22"/>
                <w:szCs w:val="22"/>
              </w:rPr>
              <w:br/>
            </w:r>
          </w:p>
        </w:tc>
      </w:tr>
      <w:tr w:rsidR="007C1EA1" w:rsidRPr="00A652E1" w14:paraId="065A63FC" w14:textId="77777777" w:rsidTr="00CA64AD">
        <w:tc>
          <w:tcPr>
            <w:tcW w:w="1537" w:type="dxa"/>
          </w:tcPr>
          <w:p w14:paraId="08E06F30" w14:textId="77777777" w:rsidR="007C1EA1" w:rsidRPr="00A652E1" w:rsidRDefault="007C1EA1" w:rsidP="00CA64AD">
            <w:pPr>
              <w:rPr>
                <w:rFonts w:cs="Arial"/>
                <w:sz w:val="22"/>
                <w:szCs w:val="22"/>
              </w:rPr>
            </w:pPr>
            <w:r w:rsidRPr="00A652E1">
              <w:rPr>
                <w:rFonts w:cs="Arial"/>
                <w:sz w:val="22"/>
                <w:szCs w:val="22"/>
              </w:rPr>
              <w:t xml:space="preserve">Skills and </w:t>
            </w:r>
            <w:r w:rsidRPr="00A652E1">
              <w:rPr>
                <w:rFonts w:cs="Arial"/>
                <w:sz w:val="22"/>
                <w:szCs w:val="22"/>
              </w:rPr>
              <w:lastRenderedPageBreak/>
              <w:t xml:space="preserve">Attributes </w:t>
            </w:r>
          </w:p>
        </w:tc>
        <w:tc>
          <w:tcPr>
            <w:tcW w:w="8097" w:type="dxa"/>
          </w:tcPr>
          <w:p w14:paraId="25163837" w14:textId="77777777" w:rsidR="007C1EA1" w:rsidRDefault="007C1EA1" w:rsidP="00CA64AD">
            <w:pPr>
              <w:rPr>
                <w:rFonts w:cs="Arial"/>
                <w:sz w:val="22"/>
                <w:szCs w:val="22"/>
              </w:rPr>
            </w:pPr>
            <w:r>
              <w:rPr>
                <w:rFonts w:cs="Arial"/>
                <w:sz w:val="22"/>
                <w:szCs w:val="22"/>
              </w:rPr>
              <w:lastRenderedPageBreak/>
              <w:t xml:space="preserve">Have a minimum of three years post-registration experience. </w:t>
            </w:r>
          </w:p>
          <w:p w14:paraId="60775D29" w14:textId="77777777" w:rsidR="007C1EA1" w:rsidRDefault="007C1EA1" w:rsidP="00CA64AD">
            <w:pPr>
              <w:rPr>
                <w:rFonts w:cs="Arial"/>
                <w:sz w:val="22"/>
                <w:szCs w:val="22"/>
              </w:rPr>
            </w:pPr>
          </w:p>
          <w:p w14:paraId="5E3DDD29" w14:textId="77777777" w:rsidR="007C1EA1" w:rsidRPr="00A652E1" w:rsidRDefault="007C1EA1" w:rsidP="00CA64AD">
            <w:pPr>
              <w:rPr>
                <w:rFonts w:cs="Arial"/>
                <w:sz w:val="22"/>
                <w:szCs w:val="22"/>
              </w:rPr>
            </w:pPr>
            <w:r>
              <w:rPr>
                <w:rFonts w:cs="Arial"/>
                <w:sz w:val="22"/>
                <w:szCs w:val="22"/>
              </w:rPr>
              <w:t xml:space="preserve">A commitment to the training and development of pre-registration Clinical Scientists. </w:t>
            </w:r>
            <w:r>
              <w:rPr>
                <w:rFonts w:cs="Arial"/>
                <w:sz w:val="22"/>
                <w:szCs w:val="22"/>
              </w:rPr>
              <w:br/>
            </w:r>
          </w:p>
        </w:tc>
      </w:tr>
    </w:tbl>
    <w:p w14:paraId="40C9E734" w14:textId="77777777" w:rsidR="002021E2" w:rsidRDefault="002021E2"/>
    <w:sectPr w:rsidR="002021E2">
      <w:headerReference w:type="default" r:id="rId11"/>
      <w:footerReference w:type="default" r:id="rId12"/>
      <w:pgSz w:w="11907" w:h="16840" w:code="9"/>
      <w:pgMar w:top="1701" w:right="1134" w:bottom="158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A4887" w14:textId="77777777" w:rsidR="00E85A62" w:rsidRDefault="00E85A62">
      <w:pPr>
        <w:spacing w:before="0"/>
      </w:pPr>
      <w:r>
        <w:separator/>
      </w:r>
    </w:p>
  </w:endnote>
  <w:endnote w:type="continuationSeparator" w:id="0">
    <w:p w14:paraId="11897FEA" w14:textId="77777777" w:rsidR="00E85A62" w:rsidRDefault="00E85A6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2BB5" w14:textId="2B01EFC7" w:rsidR="002021E2" w:rsidRPr="00877306" w:rsidRDefault="00877306" w:rsidP="00877306">
    <w:pPr>
      <w:pStyle w:val="Footer"/>
    </w:pPr>
    <w: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E1AE" w14:textId="77777777" w:rsidR="00E85A62" w:rsidRDefault="00E85A62">
      <w:pPr>
        <w:spacing w:before="0"/>
      </w:pPr>
      <w:r>
        <w:separator/>
      </w:r>
    </w:p>
  </w:footnote>
  <w:footnote w:type="continuationSeparator" w:id="0">
    <w:p w14:paraId="7F4B1047" w14:textId="77777777" w:rsidR="00E85A62" w:rsidRDefault="00E85A6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6AD" w14:textId="5BDEDB11" w:rsidR="002021E2" w:rsidRDefault="002021E2">
    <w:pPr>
      <w:pStyle w:val="Header"/>
      <w:tabs>
        <w:tab w:val="clear" w:pos="4153"/>
        <w:tab w:val="clear" w:pos="8306"/>
        <w:tab w:val="right" w:pos="9600"/>
      </w:tabs>
      <w:spacing w:before="0"/>
      <w:rPr>
        <w:sz w:val="18"/>
      </w:rPr>
    </w:pPr>
    <w:r>
      <w:rPr>
        <w:sz w:val="18"/>
      </w:rPr>
      <w:t>Institute of Physics and Engineering in Medicine</w:t>
    </w:r>
    <w:r>
      <w:rPr>
        <w:sz w:val="18"/>
      </w:rPr>
      <w:tab/>
      <w:t xml:space="preserve">Policies and Procedures Manual Volume </w:t>
    </w:r>
    <w:r w:rsidR="00065500">
      <w:rPr>
        <w:sz w:val="18"/>
      </w:rPr>
      <w:t xml:space="preserve">03 </w:t>
    </w:r>
    <w:r>
      <w:rPr>
        <w:sz w:val="18"/>
      </w:rPr>
      <w:t xml:space="preserve">Section </w:t>
    </w:r>
    <w:r w:rsidR="00065500">
      <w:rPr>
        <w:sz w:val="18"/>
      </w:rPr>
      <w:t>16a</w:t>
    </w:r>
  </w:p>
  <w:p w14:paraId="7281010C" w14:textId="15D02337" w:rsidR="002021E2" w:rsidRDefault="00774D53" w:rsidP="009A22D7">
    <w:pPr>
      <w:pStyle w:val="Header"/>
      <w:tabs>
        <w:tab w:val="clear" w:pos="4153"/>
        <w:tab w:val="clear" w:pos="8306"/>
        <w:tab w:val="right" w:pos="9600"/>
      </w:tabs>
      <w:spacing w:before="240"/>
      <w:jc w:val="center"/>
      <w:rPr>
        <w:b/>
        <w:bCs/>
        <w:sz w:val="24"/>
      </w:rPr>
    </w:pPr>
    <w:r>
      <w:rPr>
        <w:b/>
        <w:bCs/>
        <w:sz w:val="24"/>
      </w:rPr>
      <w:t xml:space="preserve">Clinical Scientist Guided Training Scheme </w:t>
    </w:r>
    <w:r w:rsidR="009A22D7">
      <w:rPr>
        <w:b/>
        <w:bCs/>
        <w:sz w:val="24"/>
      </w:rPr>
      <w:br/>
    </w:r>
    <w:r w:rsidR="00877306">
      <w:rPr>
        <w:b/>
        <w:bCs/>
        <w:sz w:val="24"/>
      </w:rPr>
      <w:t xml:space="preserve">Role </w:t>
    </w:r>
    <w:proofErr w:type="gramStart"/>
    <w:r w:rsidR="00877306">
      <w:rPr>
        <w:b/>
        <w:bCs/>
        <w:sz w:val="24"/>
      </w:rPr>
      <w:t>Description :</w:t>
    </w:r>
    <w:proofErr w:type="gramEnd"/>
    <w:r w:rsidR="00877306">
      <w:rPr>
        <w:b/>
        <w:bCs/>
        <w:sz w:val="24"/>
      </w:rPr>
      <w:t xml:space="preserve"> </w:t>
    </w:r>
    <w:r>
      <w:rPr>
        <w:b/>
        <w:bCs/>
        <w:sz w:val="24"/>
      </w:rPr>
      <w:t xml:space="preserve">Registrar  </w:t>
    </w:r>
  </w:p>
  <w:p w14:paraId="789F35AF" w14:textId="77777777" w:rsidR="009A22D7" w:rsidRDefault="009A22D7" w:rsidP="009A22D7">
    <w:pPr>
      <w:pStyle w:val="Header"/>
      <w:tabs>
        <w:tab w:val="clear" w:pos="4153"/>
        <w:tab w:val="clear" w:pos="8306"/>
        <w:tab w:val="right" w:pos="9600"/>
      </w:tabs>
      <w:spacing w:before="240"/>
      <w:jc w:val="center"/>
      <w:rPr>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1A46708"/>
    <w:multiLevelType w:val="hybridMultilevel"/>
    <w:tmpl w:val="E648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2E844B7E"/>
    <w:multiLevelType w:val="hybridMultilevel"/>
    <w:tmpl w:val="BB54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639648280">
    <w:abstractNumId w:val="5"/>
  </w:num>
  <w:num w:numId="2" w16cid:durableId="1202324091">
    <w:abstractNumId w:val="0"/>
  </w:num>
  <w:num w:numId="3" w16cid:durableId="1332639284">
    <w:abstractNumId w:val="6"/>
  </w:num>
  <w:num w:numId="4" w16cid:durableId="34698074">
    <w:abstractNumId w:val="3"/>
  </w:num>
  <w:num w:numId="5" w16cid:durableId="451247227">
    <w:abstractNumId w:val="2"/>
  </w:num>
  <w:num w:numId="6" w16cid:durableId="1264653181">
    <w:abstractNumId w:val="4"/>
  </w:num>
  <w:num w:numId="7" w16cid:durableId="1390691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00"/>
    <w:rsid w:val="00065500"/>
    <w:rsid w:val="00086FEC"/>
    <w:rsid w:val="002021E2"/>
    <w:rsid w:val="002769EE"/>
    <w:rsid w:val="00774D53"/>
    <w:rsid w:val="007C1EA1"/>
    <w:rsid w:val="00877306"/>
    <w:rsid w:val="009A22D7"/>
    <w:rsid w:val="00A342CB"/>
    <w:rsid w:val="00AE5839"/>
    <w:rsid w:val="00BC2491"/>
    <w:rsid w:val="00D774C6"/>
    <w:rsid w:val="00E07815"/>
    <w:rsid w:val="00E85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134A7"/>
  <w15:chartTrackingRefBased/>
  <w15:docId w15:val="{0131F150-B43F-44C4-AA65-FF1F0806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C6"/>
    <w:pPr>
      <w:widowControl w:val="0"/>
      <w:autoSpaceDE w:val="0"/>
      <w:autoSpaceDN w:val="0"/>
      <w:spacing w:before="120"/>
    </w:pPr>
    <w:rPr>
      <w:rFonts w:ascii="Arial" w:hAnsi="Arial"/>
      <w:lang w:eastAsia="en-US"/>
    </w:rPr>
  </w:style>
  <w:style w:type="paragraph" w:styleId="Heading2">
    <w:name w:val="heading 2"/>
    <w:basedOn w:val="Normal"/>
    <w:next w:val="Normal"/>
    <w:qFormat/>
    <w:pPr>
      <w:keepNext/>
      <w:spacing w:before="240" w:after="60"/>
      <w:ind w:hanging="567"/>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647"/>
      </w:tabs>
      <w:spacing w:before="0"/>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table" w:styleId="TableGrid">
    <w:name w:val="Table Grid"/>
    <w:basedOn w:val="TableNormal"/>
    <w:uiPriority w:val="59"/>
    <w:rsid w:val="007C1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EA1"/>
    <w:pPr>
      <w:ind w:left="720"/>
      <w:contextualSpacing/>
    </w:pPr>
  </w:style>
  <w:style w:type="paragraph" w:customStyle="1" w:styleId="pf0">
    <w:name w:val="pf0"/>
    <w:basedOn w:val="Normal"/>
    <w:rsid w:val="007C1EA1"/>
    <w:pPr>
      <w:widowControl/>
      <w:autoSpaceDE/>
      <w:autoSpaceDN/>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unhideWhenUsed/>
    <w:rsid w:val="007C1E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raining@ipe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IPEM\IPEM%20Office%20all%20-%20Documents\General\Policy%20&amp;%20Procedures\Templates\1%20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9" ma:contentTypeDescription="Create a new document." ma:contentTypeScope="" ma:versionID="4887d8ec62915d6d8f21d0a490c9e0fa">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7f314174139b9ab91d072585d37967c4"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D684C-7176-4032-A6E4-A05377BF50B2}">
  <ds:schemaRefs>
    <ds:schemaRef ds:uri="http://schemas.microsoft.com/sharepoint/v3/contenttype/forms"/>
  </ds:schemaRefs>
</ds:datastoreItem>
</file>

<file path=customXml/itemProps2.xml><?xml version="1.0" encoding="utf-8"?>
<ds:datastoreItem xmlns:ds="http://schemas.openxmlformats.org/officeDocument/2006/customXml" ds:itemID="{AAC0B16F-F885-4E84-A0A8-E9D9950D06C3}">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3.xml><?xml version="1.0" encoding="utf-8"?>
<ds:datastoreItem xmlns:ds="http://schemas.openxmlformats.org/officeDocument/2006/customXml" ds:itemID="{1AB0C452-0A92-4F4E-B78D-4D625E2A1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Template for Manual</Template>
  <TotalTime>4</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UCL Hospitals, LONDON</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Goodall</dc:creator>
  <cp:keywords/>
  <dc:description/>
  <cp:lastModifiedBy>Lauren Knight</cp:lastModifiedBy>
  <cp:revision>2</cp:revision>
  <cp:lastPrinted>1900-01-01T00:00:00Z</cp:lastPrinted>
  <dcterms:created xsi:type="dcterms:W3CDTF">2026-03-25T11:55:00Z</dcterms:created>
  <dcterms:modified xsi:type="dcterms:W3CDTF">2026-03-25T11:55:00Z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